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89" w:rsidRDefault="005E0C89" w:rsidP="005E0C8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У Орловской области отсутствуют границы</w:t>
      </w:r>
    </w:p>
    <w:p w:rsidR="005E0C89" w:rsidRDefault="005E0C89" w:rsidP="005E0C8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69823647" r:id="rId5"/>
        </w:object>
      </w:r>
      <w:r>
        <w:rPr>
          <w:rFonts w:ascii="Segoe UI" w:hAnsi="Segoe UI" w:cs="Segoe UI"/>
          <w:sz w:val="24"/>
          <w:szCs w:val="24"/>
        </w:rPr>
        <w:t xml:space="preserve">Представители филиала Кадастровой палаты 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Орловской области 12 октября приняли участие в рабочем совещании Правительства Орловской области по вопросу реализации целевых моделей улучшения инвестиционного климата в регионе. Мероприятие состоялось в рамках программы визита руководителя АНО «Агентство стратегических инициатив по продвижению новых проектов» Д.А. Абрамова по ЦФО. Особенное внимание было уделено выполнению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целевых моделей по кадастровому учету и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регистрации права собственности земельных участков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объектов недвижимого имущества, в которых учтены все шаги, с которыми предприниматели сталкиваются при приобретении и оформлении недвижимого имущества. </w:t>
      </w:r>
    </w:p>
    <w:p w:rsidR="005E0C89" w:rsidRDefault="005E0C89" w:rsidP="005E0C8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Несмотря на то, что по состоянию на 1 октября 2017 года выполнение целевой модели по кадастровому учету в регионе оценивается на 77%, имеются сложности по выполнению отдельных пунктов. </w:t>
      </w:r>
    </w:p>
    <w:p w:rsidR="005E0C89" w:rsidRDefault="005E0C89" w:rsidP="005E0C8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Целевой моделью определена доля установленных и внесенных в Единый государственный реестр недвижимости (ЕГРН) границ административно-территориальных образований к концу 2017 года. Для границ субъектов Российской Федерации — не менее 25%, для границ муниципальных образований — не менее 50%, для границ населенных пунктов — не менее 30%. На территории Орловской области находятся 267 муниципальных образований и 2943 населенных пункта. По состоянию на 1 октября 2017 года в ЕГРН содержатся сведения о границах 155 населенных пунктов, что составляет 5,27% от общего количества, и всего 1 муниципального образования. </w:t>
      </w:r>
      <w:proofErr w:type="gramStart"/>
      <w:r>
        <w:rPr>
          <w:rFonts w:ascii="Segoe UI" w:hAnsi="Segoe UI" w:cs="Segoe UI"/>
          <w:sz w:val="24"/>
          <w:szCs w:val="24"/>
        </w:rPr>
        <w:t>Кроме того</w:t>
      </w:r>
      <w:proofErr w:type="gramEnd"/>
      <w:r>
        <w:rPr>
          <w:rFonts w:ascii="Segoe UI" w:hAnsi="Segoe UI" w:cs="Segoe UI"/>
          <w:sz w:val="24"/>
          <w:szCs w:val="24"/>
        </w:rPr>
        <w:t xml:space="preserve"> в ЕГРН отсутствуют сведения о границе Орловской области как субъекта Российской Федерации.</w:t>
      </w:r>
    </w:p>
    <w:p w:rsidR="005E0C89" w:rsidRDefault="005E0C89" w:rsidP="005E0C8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Между тем, отсутствие сведений о </w:t>
      </w:r>
      <w:r>
        <w:rPr>
          <w:rFonts w:ascii="Segoe UI" w:hAnsi="Segoe UI" w:cs="Segoe UI"/>
          <w:sz w:val="24"/>
          <w:szCs w:val="24"/>
        </w:rPr>
        <w:t>границах административно-территориальных образований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в ЕГРН создаёт неудобства участникам земельно-имущественных отношений, что негативно сказывается на инвестиционной привлекательности региона.</w:t>
      </w: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филиала</w:t>
      </w:r>
      <w:proofErr w:type="gramEnd"/>
      <w:r>
        <w:rPr>
          <w:rFonts w:ascii="Segoe UI" w:hAnsi="Segoe UI" w:cs="Segoe UI"/>
          <w:sz w:val="24"/>
          <w:szCs w:val="24"/>
        </w:rPr>
        <w:t xml:space="preserve"> ФГБУ «Федеральная кадастровая палата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»</w:t>
      </w:r>
    </w:p>
    <w:p w:rsidR="005E0C89" w:rsidRDefault="005E0C89" w:rsidP="005E0C8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по</w:t>
      </w:r>
      <w:proofErr w:type="gramEnd"/>
      <w:r>
        <w:rPr>
          <w:rFonts w:ascii="Segoe UI" w:hAnsi="Segoe UI" w:cs="Segoe UI"/>
          <w:sz w:val="24"/>
          <w:szCs w:val="24"/>
        </w:rPr>
        <w:t xml:space="preserve"> Орловской области</w:t>
      </w:r>
    </w:p>
    <w:p w:rsidR="008A7746" w:rsidRDefault="005E0C89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FB"/>
    <w:rsid w:val="005E0C89"/>
    <w:rsid w:val="006A12FB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6632B3B-A71D-4076-8EC1-04FF1E2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2017-10-18T06:21:00Z</dcterms:created>
  <dcterms:modified xsi:type="dcterms:W3CDTF">2017-10-18T06:21:00Z</dcterms:modified>
</cp:coreProperties>
</file>