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4E" w:rsidRDefault="0060174E" w:rsidP="0060174E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160227" r:id="rId5"/>
        </w:object>
      </w:r>
      <w:r>
        <w:rPr>
          <w:rFonts w:ascii="Segoe UI" w:hAnsi="Segoe UI" w:cs="Segoe UI"/>
          <w:sz w:val="24"/>
          <w:szCs w:val="24"/>
        </w:rPr>
        <w:t xml:space="preserve">С начала года в Орловской области подано более 5,5 тыс. 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рамках единой процедуры. </w:t>
      </w: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в регистрирующий орган можно обратиться один раз и в течение 10 дней будут выполнены и кадастровый учет, и регистрация прав.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Введение единой процедуры значительно сокращает сроки и упрощает оформление ряда объектов недвижимого имущества. </w:t>
      </w: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60174E" w:rsidRDefault="0060174E" w:rsidP="0060174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0174E" w:rsidRDefault="0060174E" w:rsidP="0060174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A7746" w:rsidRDefault="0060174E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E3"/>
    <w:rsid w:val="001F65E3"/>
    <w:rsid w:val="0060174E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9D9218-7E42-4DA9-AFAE-551E259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2017-11-14T07:24:00Z</dcterms:created>
  <dcterms:modified xsi:type="dcterms:W3CDTF">2017-11-14T07:24:00Z</dcterms:modified>
</cp:coreProperties>
</file>